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B5" w:rsidRPr="00506489" w:rsidRDefault="00506489" w:rsidP="00506489">
      <w:pPr>
        <w:jc w:val="center"/>
        <w:rPr>
          <w:sz w:val="28"/>
          <w:szCs w:val="28"/>
        </w:rPr>
      </w:pPr>
      <w:r w:rsidRPr="00506489">
        <w:rPr>
          <w:sz w:val="28"/>
          <w:szCs w:val="28"/>
        </w:rPr>
        <w:t xml:space="preserve">Building design work now covered by Constructions Contract Act 2002 - Important implications for </w:t>
      </w:r>
      <w:r w:rsidR="00735DE7">
        <w:rPr>
          <w:sz w:val="28"/>
          <w:szCs w:val="28"/>
        </w:rPr>
        <w:t xml:space="preserve">building and </w:t>
      </w:r>
      <w:r w:rsidRPr="00506489">
        <w:rPr>
          <w:sz w:val="28"/>
          <w:szCs w:val="28"/>
        </w:rPr>
        <w:t>spatial designers</w:t>
      </w:r>
    </w:p>
    <w:p w:rsidR="00506489" w:rsidRDefault="00506489" w:rsidP="00735DE7">
      <w:pPr>
        <w:jc w:val="center"/>
      </w:pPr>
      <w:r>
        <w:t>James Carnie, Clendons</w:t>
      </w:r>
    </w:p>
    <w:p w:rsidR="00506489" w:rsidRDefault="00506489" w:rsidP="00735DE7">
      <w:pPr>
        <w:jc w:val="center"/>
      </w:pPr>
      <w:r>
        <w:t>June 2016</w:t>
      </w:r>
    </w:p>
    <w:p w:rsidR="00506489" w:rsidRPr="007D5AC4" w:rsidRDefault="007D5AC4" w:rsidP="00986E46">
      <w:pPr>
        <w:spacing w:before="240" w:after="240" w:line="240" w:lineRule="auto"/>
        <w:rPr>
          <w:b/>
        </w:rPr>
      </w:pPr>
      <w:r w:rsidRPr="007D5AC4">
        <w:rPr>
          <w:b/>
        </w:rPr>
        <w:t>Introduction</w:t>
      </w:r>
    </w:p>
    <w:p w:rsidR="007D5AC4" w:rsidRDefault="007D5AC4" w:rsidP="00986E46">
      <w:pPr>
        <w:spacing w:before="120" w:after="120" w:line="240" w:lineRule="auto"/>
      </w:pPr>
      <w:r>
        <w:t>With effect from 1 September 2016, design services will be included in the definition of “Construction Work” under the Construction Contracts Act 2002 (“CCA”).  This article summarises some of the important implications for building and spatial designers.</w:t>
      </w:r>
    </w:p>
    <w:p w:rsidR="00506489" w:rsidRPr="00506489" w:rsidRDefault="00506489" w:rsidP="00986E46">
      <w:pPr>
        <w:spacing w:before="240" w:after="240" w:line="240" w:lineRule="auto"/>
        <w:rPr>
          <w:b/>
        </w:rPr>
      </w:pPr>
      <w:r w:rsidRPr="00506489">
        <w:rPr>
          <w:b/>
        </w:rPr>
        <w:t>Law Change</w:t>
      </w:r>
      <w:r w:rsidR="007D5AC4">
        <w:rPr>
          <w:b/>
        </w:rPr>
        <w:t>s from 1 September 2016</w:t>
      </w:r>
    </w:p>
    <w:p w:rsidR="00506489" w:rsidRPr="007D5AC4" w:rsidRDefault="00506489" w:rsidP="00986E46">
      <w:pPr>
        <w:pStyle w:val="NormalWeb"/>
        <w:spacing w:before="120" w:beforeAutospacing="0" w:after="120" w:afterAutospacing="0"/>
        <w:rPr>
          <w:rFonts w:asciiTheme="minorHAnsi" w:hAnsiTheme="minorHAnsi"/>
          <w:sz w:val="22"/>
          <w:szCs w:val="22"/>
        </w:rPr>
      </w:pPr>
      <w:r w:rsidRPr="007D5AC4">
        <w:rPr>
          <w:rFonts w:asciiTheme="minorHAnsi" w:hAnsiTheme="minorHAnsi"/>
          <w:sz w:val="22"/>
          <w:szCs w:val="22"/>
        </w:rPr>
        <w:t xml:space="preserve">The definition of "construction work" has been </w:t>
      </w:r>
      <w:r w:rsidR="007D5AC4" w:rsidRPr="007D5AC4">
        <w:rPr>
          <w:rFonts w:asciiTheme="minorHAnsi" w:hAnsiTheme="minorHAnsi"/>
          <w:sz w:val="22"/>
          <w:szCs w:val="22"/>
        </w:rPr>
        <w:t>expanded</w:t>
      </w:r>
      <w:r w:rsidRPr="007D5AC4">
        <w:rPr>
          <w:rFonts w:asciiTheme="minorHAnsi" w:hAnsiTheme="minorHAnsi"/>
          <w:sz w:val="22"/>
          <w:szCs w:val="22"/>
        </w:rPr>
        <w:t xml:space="preserve"> to include design, engineering and quantity surveying work. This means </w:t>
      </w:r>
      <w:r w:rsidR="007D5AC4" w:rsidRPr="007D5AC4">
        <w:rPr>
          <w:rFonts w:asciiTheme="minorHAnsi" w:hAnsiTheme="minorHAnsi"/>
          <w:sz w:val="22"/>
          <w:szCs w:val="22"/>
        </w:rPr>
        <w:t xml:space="preserve">building and spatial designers, and their clients, </w:t>
      </w:r>
      <w:r w:rsidRPr="007D5AC4">
        <w:rPr>
          <w:rFonts w:asciiTheme="minorHAnsi" w:hAnsiTheme="minorHAnsi"/>
          <w:sz w:val="22"/>
          <w:szCs w:val="22"/>
        </w:rPr>
        <w:t xml:space="preserve">will have access to the default payment provisions in the </w:t>
      </w:r>
      <w:r w:rsidR="00A473C3">
        <w:rPr>
          <w:rFonts w:asciiTheme="minorHAnsi" w:hAnsiTheme="minorHAnsi"/>
          <w:sz w:val="22"/>
          <w:szCs w:val="22"/>
        </w:rPr>
        <w:t>CCA</w:t>
      </w:r>
      <w:r w:rsidRPr="007D5AC4">
        <w:rPr>
          <w:rFonts w:asciiTheme="minorHAnsi" w:hAnsiTheme="minorHAnsi"/>
          <w:sz w:val="22"/>
          <w:szCs w:val="22"/>
        </w:rPr>
        <w:t xml:space="preserve"> and, if disputes arise, the adjudication process.</w:t>
      </w:r>
    </w:p>
    <w:p w:rsidR="00506489" w:rsidRPr="007D5AC4" w:rsidRDefault="00506489" w:rsidP="00986E46">
      <w:pPr>
        <w:pStyle w:val="NormalWeb"/>
        <w:spacing w:before="120" w:beforeAutospacing="0" w:after="120" w:afterAutospacing="0"/>
        <w:rPr>
          <w:rFonts w:asciiTheme="minorHAnsi" w:hAnsiTheme="minorHAnsi"/>
          <w:sz w:val="22"/>
          <w:szCs w:val="22"/>
        </w:rPr>
      </w:pPr>
      <w:r w:rsidRPr="007D5AC4">
        <w:rPr>
          <w:rFonts w:asciiTheme="minorHAnsi" w:hAnsiTheme="minorHAnsi"/>
          <w:sz w:val="22"/>
          <w:szCs w:val="22"/>
        </w:rPr>
        <w:t xml:space="preserve">The expanded definition will come into force on 1 September 2016. </w:t>
      </w:r>
      <w:r w:rsidR="007D5AC4" w:rsidRPr="007D5AC4">
        <w:rPr>
          <w:rFonts w:asciiTheme="minorHAnsi" w:hAnsiTheme="minorHAnsi"/>
          <w:sz w:val="22"/>
          <w:szCs w:val="22"/>
        </w:rPr>
        <w:t>T</w:t>
      </w:r>
      <w:r w:rsidRPr="007D5AC4">
        <w:rPr>
          <w:rFonts w:asciiTheme="minorHAnsi" w:hAnsiTheme="minorHAnsi"/>
          <w:sz w:val="22"/>
          <w:szCs w:val="22"/>
        </w:rPr>
        <w:t xml:space="preserve">he </w:t>
      </w:r>
      <w:r w:rsidR="007D5AC4" w:rsidRPr="007D5AC4">
        <w:rPr>
          <w:rFonts w:asciiTheme="minorHAnsi" w:hAnsiTheme="minorHAnsi"/>
          <w:sz w:val="22"/>
          <w:szCs w:val="22"/>
        </w:rPr>
        <w:t xml:space="preserve">CCA </w:t>
      </w:r>
      <w:r w:rsidRPr="007D5AC4">
        <w:rPr>
          <w:rFonts w:asciiTheme="minorHAnsi" w:hAnsiTheme="minorHAnsi"/>
          <w:sz w:val="22"/>
          <w:szCs w:val="22"/>
        </w:rPr>
        <w:t>change</w:t>
      </w:r>
      <w:r w:rsidR="007D5AC4" w:rsidRPr="007D5AC4">
        <w:rPr>
          <w:rFonts w:asciiTheme="minorHAnsi" w:hAnsiTheme="minorHAnsi"/>
          <w:sz w:val="22"/>
          <w:szCs w:val="22"/>
        </w:rPr>
        <w:t>s</w:t>
      </w:r>
      <w:r w:rsidRPr="007D5AC4">
        <w:rPr>
          <w:rFonts w:asciiTheme="minorHAnsi" w:hAnsiTheme="minorHAnsi"/>
          <w:sz w:val="22"/>
          <w:szCs w:val="22"/>
        </w:rPr>
        <w:t xml:space="preserve"> will not affect contracts entered into or renewed before that date.</w:t>
      </w:r>
    </w:p>
    <w:p w:rsidR="00506489" w:rsidRPr="007D5AC4" w:rsidRDefault="00506489" w:rsidP="00986E46">
      <w:pPr>
        <w:pStyle w:val="NormalWeb"/>
        <w:spacing w:before="120" w:beforeAutospacing="0" w:after="120" w:afterAutospacing="0"/>
        <w:rPr>
          <w:rFonts w:asciiTheme="minorHAnsi" w:hAnsiTheme="minorHAnsi"/>
          <w:sz w:val="22"/>
          <w:szCs w:val="22"/>
        </w:rPr>
      </w:pPr>
      <w:r w:rsidRPr="007D5AC4">
        <w:rPr>
          <w:rFonts w:asciiTheme="minorHAnsi" w:hAnsiTheme="minorHAnsi"/>
          <w:sz w:val="22"/>
          <w:szCs w:val="22"/>
        </w:rPr>
        <w:t xml:space="preserve">The differences between how the </w:t>
      </w:r>
      <w:r w:rsidR="00A473C3">
        <w:rPr>
          <w:rFonts w:asciiTheme="minorHAnsi" w:hAnsiTheme="minorHAnsi"/>
          <w:sz w:val="22"/>
          <w:szCs w:val="22"/>
        </w:rPr>
        <w:t>CCA</w:t>
      </w:r>
      <w:r w:rsidRPr="007D5AC4">
        <w:rPr>
          <w:rFonts w:asciiTheme="minorHAnsi" w:hAnsiTheme="minorHAnsi"/>
          <w:sz w:val="22"/>
          <w:szCs w:val="22"/>
        </w:rPr>
        <w:t xml:space="preserve"> applies to residential construction contracts and commercial construction contracts have been removed. Parties to either type of contract now have equal access to the default payment provisions and adjudication processes under the </w:t>
      </w:r>
      <w:r w:rsidR="00A473C3">
        <w:rPr>
          <w:rFonts w:asciiTheme="minorHAnsi" w:hAnsiTheme="minorHAnsi"/>
          <w:sz w:val="22"/>
          <w:szCs w:val="22"/>
        </w:rPr>
        <w:t>CCA</w:t>
      </w:r>
      <w:r w:rsidRPr="007D5AC4">
        <w:rPr>
          <w:rFonts w:asciiTheme="minorHAnsi" w:hAnsiTheme="minorHAnsi"/>
          <w:sz w:val="22"/>
          <w:szCs w:val="22"/>
        </w:rPr>
        <w:t>.</w:t>
      </w:r>
    </w:p>
    <w:p w:rsidR="00506489" w:rsidRPr="00735DE7" w:rsidRDefault="007A64B3" w:rsidP="00986E46">
      <w:pPr>
        <w:spacing w:before="240" w:after="240" w:line="240" w:lineRule="auto"/>
        <w:rPr>
          <w:b/>
        </w:rPr>
      </w:pPr>
      <w:r>
        <w:rPr>
          <w:b/>
        </w:rPr>
        <w:t>Design Services covered by the CCA</w:t>
      </w:r>
    </w:p>
    <w:p w:rsidR="001B5701" w:rsidRDefault="001B5701" w:rsidP="00986E46">
      <w:pPr>
        <w:spacing w:before="120" w:after="120" w:line="240" w:lineRule="auto"/>
      </w:pPr>
      <w:r>
        <w:t>For constructs formed from 1 Septemb</w:t>
      </w:r>
      <w:r w:rsidR="007B735B">
        <w:t>e</w:t>
      </w:r>
      <w:r>
        <w:t xml:space="preserve">r 2016 onwards, the CCA will apply to </w:t>
      </w:r>
      <w:r w:rsidR="007A64B3">
        <w:t xml:space="preserve">a wide variety of building-related </w:t>
      </w:r>
      <w:r>
        <w:t xml:space="preserve">design </w:t>
      </w:r>
      <w:r>
        <w:t>services</w:t>
      </w:r>
      <w:r>
        <w:t xml:space="preserve"> carried out in New Zealand</w:t>
      </w:r>
      <w:r w:rsidR="007A64B3">
        <w:t>,</w:t>
      </w:r>
      <w:r>
        <w:t xml:space="preserve"> </w:t>
      </w:r>
      <w:r>
        <w:t>including:</w:t>
      </w:r>
    </w:p>
    <w:p w:rsidR="00735DE7" w:rsidRDefault="001B5701" w:rsidP="00986E46">
      <w:pPr>
        <w:pStyle w:val="ListParagraph"/>
        <w:numPr>
          <w:ilvl w:val="0"/>
          <w:numId w:val="3"/>
        </w:numPr>
        <w:spacing w:before="120" w:after="120" w:line="240" w:lineRule="auto"/>
        <w:ind w:left="567" w:hanging="567"/>
        <w:contextualSpacing w:val="0"/>
      </w:pPr>
      <w:r>
        <w:t>construction, installation, alteration, repair, restoration, main</w:t>
      </w:r>
      <w:r w:rsidR="00986E46">
        <w:t xml:space="preserve">tenance or extension, </w:t>
      </w:r>
      <w:r>
        <w:t>of any building, erection or structure (whether permanent or not and whether constructed on, above, or below ground level</w:t>
      </w:r>
      <w:r w:rsidR="00986E46">
        <w:t>);</w:t>
      </w:r>
    </w:p>
    <w:p w:rsidR="00735DE7" w:rsidRDefault="001B5701" w:rsidP="00986E46">
      <w:pPr>
        <w:pStyle w:val="ListParagraph"/>
        <w:numPr>
          <w:ilvl w:val="0"/>
          <w:numId w:val="3"/>
        </w:numPr>
        <w:spacing w:before="120" w:after="120" w:line="240" w:lineRule="auto"/>
        <w:ind w:left="567" w:hanging="567"/>
        <w:contextualSpacing w:val="0"/>
      </w:pPr>
      <w:r>
        <w:t>any works forming, or to form, part of land</w:t>
      </w:r>
      <w:r>
        <w:t xml:space="preserve"> including </w:t>
      </w:r>
      <w:proofErr w:type="spellStart"/>
      <w:r>
        <w:t>roading</w:t>
      </w:r>
      <w:proofErr w:type="spellEnd"/>
      <w:r>
        <w:t xml:space="preserve">, wharfs, pipelines, sewers, </w:t>
      </w:r>
      <w:r>
        <w:t>any electricity, water, gas or telephone reticulation</w:t>
      </w:r>
      <w:r>
        <w:t xml:space="preserve">, </w:t>
      </w:r>
      <w:r>
        <w:t>any telecommunication apparatus or industrial plant</w:t>
      </w:r>
      <w:r>
        <w:t>, drainage or coastal protection;</w:t>
      </w:r>
    </w:p>
    <w:p w:rsidR="001B5701" w:rsidRDefault="001B5701" w:rsidP="00986E46">
      <w:pPr>
        <w:pStyle w:val="ListParagraph"/>
        <w:numPr>
          <w:ilvl w:val="0"/>
          <w:numId w:val="3"/>
        </w:numPr>
        <w:spacing w:before="120" w:after="120" w:line="240" w:lineRule="auto"/>
        <w:ind w:left="567" w:hanging="567"/>
        <w:contextualSpacing w:val="0"/>
      </w:pPr>
      <w:r>
        <w:t>the installation in any building or structure of fittings including heating, lighting, air conditioning, ventilation, power supply, drainage, sanitation, water supply or fire protection, security, and communications systems</w:t>
      </w:r>
      <w:r w:rsidR="00986E46">
        <w:t xml:space="preserve"> (including</w:t>
      </w:r>
      <w:r w:rsidR="007B735B">
        <w:t xml:space="preserve"> </w:t>
      </w:r>
      <w:r w:rsidR="007B735B">
        <w:t>alteration, repair</w:t>
      </w:r>
      <w:r w:rsidR="00986E46">
        <w:t xml:space="preserve"> or maintenance </w:t>
      </w:r>
      <w:r w:rsidR="007B735B">
        <w:t>of th</w:t>
      </w:r>
      <w:r w:rsidR="007B735B">
        <w:t>os</w:t>
      </w:r>
      <w:r w:rsidR="007B735B">
        <w:t>e systems</w:t>
      </w:r>
      <w:r w:rsidR="00986E46">
        <w:t>)</w:t>
      </w:r>
      <w:r>
        <w:t>;</w:t>
      </w:r>
      <w:r w:rsidR="007A64B3">
        <w:t xml:space="preserve"> and</w:t>
      </w:r>
    </w:p>
    <w:p w:rsidR="001B5701" w:rsidRDefault="007B735B" w:rsidP="00986E46">
      <w:pPr>
        <w:pStyle w:val="ListParagraph"/>
        <w:numPr>
          <w:ilvl w:val="0"/>
          <w:numId w:val="3"/>
        </w:numPr>
        <w:spacing w:before="120" w:after="120" w:line="240" w:lineRule="auto"/>
        <w:ind w:left="567" w:hanging="567"/>
        <w:contextualSpacing w:val="0"/>
      </w:pPr>
      <w:r>
        <w:t xml:space="preserve">Any preparatory works including </w:t>
      </w:r>
      <w:r>
        <w:t>site clearance, earthmoving, excavation, tunnelling, boring</w:t>
      </w:r>
      <w:r>
        <w:t xml:space="preserve">, scaffolding, </w:t>
      </w:r>
      <w:r w:rsidR="007A64B3">
        <w:t>landscaping and access</w:t>
      </w:r>
      <w:r w:rsidR="007A64B3">
        <w:t xml:space="preserve">, or </w:t>
      </w:r>
      <w:r>
        <w:t>prefabricating customised components of any building or structure, whether carried out on the construction site or elsewhere</w:t>
      </w:r>
      <w:r w:rsidR="007A64B3">
        <w:t>.</w:t>
      </w:r>
      <w:r>
        <w:t xml:space="preserve"> </w:t>
      </w:r>
    </w:p>
    <w:p w:rsidR="007A64B3" w:rsidRPr="007A64B3" w:rsidRDefault="007A64B3" w:rsidP="007A64B3">
      <w:pPr>
        <w:spacing w:before="240" w:after="240" w:line="240" w:lineRule="auto"/>
        <w:rPr>
          <w:b/>
        </w:rPr>
      </w:pPr>
      <w:r w:rsidRPr="007A64B3">
        <w:rPr>
          <w:b/>
        </w:rPr>
        <w:t>Implications for building/spatial designers</w:t>
      </w:r>
    </w:p>
    <w:p w:rsidR="007A64B3" w:rsidRDefault="007A64B3" w:rsidP="007A64B3">
      <w:pPr>
        <w:spacing w:before="120" w:after="120" w:line="240" w:lineRule="auto"/>
      </w:pPr>
      <w:r>
        <w:t>Designers who are involved in a range of building, building services or spatial design will now be covered by the CCA – and their clients will be too.</w:t>
      </w:r>
    </w:p>
    <w:p w:rsidR="001B5701" w:rsidRDefault="007B735B" w:rsidP="00986E46">
      <w:pPr>
        <w:spacing w:before="120" w:after="120" w:line="240" w:lineRule="auto"/>
      </w:pPr>
      <w:r>
        <w:t xml:space="preserve">In these circumstances, designers and their clients will have recourse to the </w:t>
      </w:r>
      <w:r w:rsidR="00A473C3" w:rsidRPr="007D5AC4">
        <w:t xml:space="preserve">payment provisions in the </w:t>
      </w:r>
      <w:r w:rsidR="00A473C3">
        <w:t>CCA</w:t>
      </w:r>
      <w:r w:rsidR="00A473C3" w:rsidRPr="007D5AC4">
        <w:t xml:space="preserve"> and, if disputes arise, the adjudication process</w:t>
      </w:r>
    </w:p>
    <w:p w:rsidR="00A473C3" w:rsidRDefault="00A473C3" w:rsidP="00986E46">
      <w:pPr>
        <w:spacing w:before="120" w:after="120" w:line="240" w:lineRule="auto"/>
        <w:rPr>
          <w:rFonts w:eastAsia="Times New Roman" w:cs="Times New Roman"/>
          <w:lang w:eastAsia="en-NZ"/>
        </w:rPr>
      </w:pPr>
      <w:r>
        <w:rPr>
          <w:rFonts w:eastAsia="Times New Roman" w:cs="Times New Roman"/>
          <w:lang w:eastAsia="en-NZ"/>
        </w:rPr>
        <w:lastRenderedPageBreak/>
        <w:t>In circumstances where payment provisions are not clearly defined by contract, the</w:t>
      </w:r>
      <w:r w:rsidRPr="00A473C3">
        <w:rPr>
          <w:rFonts w:eastAsia="Times New Roman" w:cs="Times New Roman"/>
          <w:lang w:eastAsia="en-NZ"/>
        </w:rPr>
        <w:t xml:space="preserve">, default provisions of the </w:t>
      </w:r>
      <w:r>
        <w:rPr>
          <w:rFonts w:eastAsia="Times New Roman" w:cs="Times New Roman"/>
          <w:lang w:eastAsia="en-NZ"/>
        </w:rPr>
        <w:t>CCA</w:t>
      </w:r>
      <w:r w:rsidRPr="00A473C3">
        <w:rPr>
          <w:rFonts w:eastAsia="Times New Roman" w:cs="Times New Roman"/>
          <w:lang w:eastAsia="en-NZ"/>
        </w:rPr>
        <w:t xml:space="preserve"> will apply, which provide for monthly progress payments.</w:t>
      </w:r>
    </w:p>
    <w:p w:rsidR="00A473C3" w:rsidRDefault="00A473C3" w:rsidP="00986E46">
      <w:pPr>
        <w:spacing w:before="120" w:after="120" w:line="240" w:lineRule="auto"/>
        <w:rPr>
          <w:rFonts w:eastAsia="Times New Roman" w:cs="Times New Roman"/>
          <w:lang w:eastAsia="en-NZ"/>
        </w:rPr>
      </w:pPr>
      <w:r>
        <w:rPr>
          <w:rFonts w:eastAsia="Times New Roman" w:cs="Times New Roman"/>
          <w:lang w:eastAsia="en-NZ"/>
        </w:rPr>
        <w:t xml:space="preserve">A designer </w:t>
      </w:r>
      <w:r w:rsidRPr="00A473C3">
        <w:rPr>
          <w:rFonts w:eastAsia="Times New Roman" w:cs="Times New Roman"/>
          <w:lang w:eastAsia="en-NZ"/>
        </w:rPr>
        <w:t xml:space="preserve">can make a payment claim </w:t>
      </w:r>
      <w:r w:rsidR="004F72BA">
        <w:rPr>
          <w:rFonts w:eastAsia="Times New Roman" w:cs="Times New Roman"/>
          <w:lang w:eastAsia="en-NZ"/>
        </w:rPr>
        <w:t xml:space="preserve">under the CCA </w:t>
      </w:r>
      <w:r w:rsidRPr="00A473C3">
        <w:rPr>
          <w:rFonts w:eastAsia="Times New Roman" w:cs="Times New Roman"/>
          <w:lang w:eastAsia="en-NZ"/>
        </w:rPr>
        <w:t xml:space="preserve">for any amount </w:t>
      </w:r>
      <w:r>
        <w:rPr>
          <w:rFonts w:eastAsia="Times New Roman" w:cs="Times New Roman"/>
          <w:lang w:eastAsia="en-NZ"/>
        </w:rPr>
        <w:t>they</w:t>
      </w:r>
      <w:r w:rsidRPr="00A473C3">
        <w:rPr>
          <w:rFonts w:eastAsia="Times New Roman" w:cs="Times New Roman"/>
          <w:lang w:eastAsia="en-NZ"/>
        </w:rPr>
        <w:t xml:space="preserve"> believe is due under the contract. </w:t>
      </w:r>
      <w:r>
        <w:rPr>
          <w:rFonts w:eastAsia="Times New Roman" w:cs="Times New Roman"/>
          <w:lang w:eastAsia="en-NZ"/>
        </w:rPr>
        <w:t xml:space="preserve"> The Designer</w:t>
      </w:r>
      <w:r w:rsidRPr="00A473C3">
        <w:rPr>
          <w:rFonts w:eastAsia="Times New Roman" w:cs="Times New Roman"/>
          <w:lang w:eastAsia="en-NZ"/>
        </w:rPr>
        <w:t xml:space="preserve"> must include a </w:t>
      </w:r>
      <w:r>
        <w:rPr>
          <w:rFonts w:eastAsia="Times New Roman" w:cs="Times New Roman"/>
          <w:lang w:eastAsia="en-NZ"/>
        </w:rPr>
        <w:t xml:space="preserve">prescribed </w:t>
      </w:r>
      <w:r w:rsidRPr="00A473C3">
        <w:rPr>
          <w:rFonts w:eastAsia="Times New Roman" w:cs="Times New Roman"/>
          <w:lang w:eastAsia="en-NZ"/>
        </w:rPr>
        <w:t xml:space="preserve">notice with all payment claims </w:t>
      </w:r>
      <w:r>
        <w:rPr>
          <w:rFonts w:eastAsia="Times New Roman" w:cs="Times New Roman"/>
          <w:lang w:eastAsia="en-NZ"/>
        </w:rPr>
        <w:t>made, notifying the client of the processes for responding to the payment claim and consequences.</w:t>
      </w:r>
    </w:p>
    <w:p w:rsidR="00A473C3" w:rsidRDefault="00A473C3" w:rsidP="00986E46">
      <w:pPr>
        <w:spacing w:before="120" w:after="120" w:line="240" w:lineRule="auto"/>
        <w:rPr>
          <w:rFonts w:eastAsia="Times New Roman" w:cs="Times New Roman"/>
          <w:lang w:eastAsia="en-NZ"/>
        </w:rPr>
      </w:pPr>
      <w:r w:rsidRPr="00A473C3">
        <w:rPr>
          <w:rFonts w:eastAsia="Times New Roman" w:cs="Times New Roman"/>
          <w:lang w:eastAsia="en-NZ"/>
        </w:rPr>
        <w:t xml:space="preserve">The CCA also provides fast-track adjudication of disputes about </w:t>
      </w:r>
      <w:r>
        <w:rPr>
          <w:rFonts w:eastAsia="Times New Roman" w:cs="Times New Roman"/>
          <w:lang w:eastAsia="en-NZ"/>
        </w:rPr>
        <w:t>building and spatial design</w:t>
      </w:r>
      <w:r w:rsidRPr="00A473C3">
        <w:rPr>
          <w:rFonts w:eastAsia="Times New Roman" w:cs="Times New Roman"/>
          <w:lang w:eastAsia="en-NZ"/>
        </w:rPr>
        <w:t xml:space="preserve"> contract</w:t>
      </w:r>
      <w:r>
        <w:rPr>
          <w:rFonts w:eastAsia="Times New Roman" w:cs="Times New Roman"/>
          <w:lang w:eastAsia="en-NZ"/>
        </w:rPr>
        <w:t>s</w:t>
      </w:r>
      <w:r w:rsidRPr="00A473C3">
        <w:rPr>
          <w:rFonts w:eastAsia="Times New Roman" w:cs="Times New Roman"/>
          <w:lang w:eastAsia="en-NZ"/>
        </w:rPr>
        <w:t xml:space="preserve">, </w:t>
      </w:r>
      <w:r>
        <w:rPr>
          <w:rFonts w:eastAsia="Times New Roman" w:cs="Times New Roman"/>
          <w:lang w:eastAsia="en-NZ"/>
        </w:rPr>
        <w:t>together</w:t>
      </w:r>
      <w:r w:rsidRPr="00A473C3">
        <w:rPr>
          <w:rFonts w:eastAsia="Times New Roman" w:cs="Times New Roman"/>
          <w:lang w:eastAsia="en-NZ"/>
        </w:rPr>
        <w:t xml:space="preserve"> with ways to enforce payment.</w:t>
      </w:r>
    </w:p>
    <w:p w:rsidR="0057468E" w:rsidRPr="00A473C3" w:rsidRDefault="0057468E" w:rsidP="00986E46">
      <w:pPr>
        <w:spacing w:before="120" w:after="120" w:line="240" w:lineRule="auto"/>
        <w:rPr>
          <w:rFonts w:eastAsia="Times New Roman" w:cs="Times New Roman"/>
          <w:b/>
          <w:lang w:eastAsia="en-NZ"/>
        </w:rPr>
      </w:pPr>
      <w:r w:rsidRPr="0057468E">
        <w:rPr>
          <w:rFonts w:eastAsia="Times New Roman" w:cs="Times New Roman"/>
          <w:b/>
          <w:lang w:eastAsia="en-NZ"/>
        </w:rPr>
        <w:t>Benefits for Designers</w:t>
      </w:r>
    </w:p>
    <w:p w:rsidR="00A473C3" w:rsidRPr="00A473C3" w:rsidRDefault="00A473C3" w:rsidP="00986E46">
      <w:pPr>
        <w:spacing w:before="120" w:after="120" w:line="240" w:lineRule="auto"/>
      </w:pPr>
      <w:r>
        <w:t xml:space="preserve">Overall, the changes provide additional methods for building and spatial designers to enforce contracts and recover payments due.  The </w:t>
      </w:r>
      <w:r w:rsidR="00760D81">
        <w:t xml:space="preserve">accelerated and less-formal CCA </w:t>
      </w:r>
      <w:r>
        <w:t xml:space="preserve">adjudication process may not, however, be suited </w:t>
      </w:r>
      <w:r w:rsidR="00760D81">
        <w:t>to</w:t>
      </w:r>
      <w:r>
        <w:t xml:space="preserve"> disputes involving allegations of negligent design </w:t>
      </w:r>
      <w:r w:rsidR="00760D81">
        <w:t xml:space="preserve">or similar circumstances where specialist/expert evidence is required.  Designers with professional indemnity insurance will also need to be conscious of notification obligations </w:t>
      </w:r>
      <w:r w:rsidR="004F72BA">
        <w:t xml:space="preserve">and other </w:t>
      </w:r>
      <w:r w:rsidR="004F72BA">
        <w:t xml:space="preserve">duties </w:t>
      </w:r>
      <w:r w:rsidR="00760D81">
        <w:t xml:space="preserve">owed to insurers, which will need to be </w:t>
      </w:r>
      <w:r w:rsidR="004F72BA">
        <w:t xml:space="preserve">carefully </w:t>
      </w:r>
      <w:bookmarkStart w:id="0" w:name="_GoBack"/>
      <w:bookmarkEnd w:id="0"/>
      <w:r w:rsidR="00760D81">
        <w:t xml:space="preserve">managed in a very condensed timeframe under CCA </w:t>
      </w:r>
      <w:r w:rsidR="00760D81">
        <w:t>adjudication</w:t>
      </w:r>
      <w:r w:rsidR="00760D81">
        <w:t>.</w:t>
      </w:r>
    </w:p>
    <w:p w:rsidR="00D5665A" w:rsidRDefault="00D5665A"/>
    <w:p w:rsidR="002751CA" w:rsidRDefault="00D5665A" w:rsidP="00D5665A">
      <w:pPr>
        <w:spacing w:after="0"/>
        <w:rPr>
          <w:rFonts w:ascii="Arial" w:hAnsi="Arial" w:cs="Arial"/>
          <w:i/>
          <w:sz w:val="18"/>
        </w:rPr>
      </w:pPr>
      <w:r w:rsidRPr="00F56736">
        <w:rPr>
          <w:rFonts w:ascii="Arial" w:hAnsi="Arial" w:cs="Arial"/>
          <w:i/>
          <w:sz w:val="18"/>
        </w:rPr>
        <w:t xml:space="preserve">James Carnie is Partner at Clendons Lawyers, and </w:t>
      </w:r>
      <w:r w:rsidR="002751CA">
        <w:rPr>
          <w:rFonts w:ascii="Arial" w:hAnsi="Arial" w:cs="Arial"/>
          <w:i/>
          <w:sz w:val="18"/>
        </w:rPr>
        <w:t>an Honorary Member of the Designers Institute of New Zealand Inc.</w:t>
      </w:r>
    </w:p>
    <w:p w:rsidR="00D5665A" w:rsidRPr="00F56736" w:rsidRDefault="00D5665A" w:rsidP="00D5665A">
      <w:pPr>
        <w:spacing w:after="0"/>
        <w:rPr>
          <w:rFonts w:ascii="Arial" w:hAnsi="Arial" w:cs="Arial"/>
          <w:i/>
          <w:sz w:val="18"/>
        </w:rPr>
      </w:pPr>
    </w:p>
    <w:p w:rsidR="00D5665A" w:rsidRPr="00F56736" w:rsidRDefault="00D5665A" w:rsidP="00D5665A">
      <w:pPr>
        <w:pStyle w:val="ClendonsBody"/>
        <w:rPr>
          <w:i/>
        </w:rPr>
      </w:pPr>
      <w:r w:rsidRPr="00F56736">
        <w:rPr>
          <w:i/>
        </w:rPr>
        <w:t>DDI: +64 9 306 8002</w:t>
      </w:r>
    </w:p>
    <w:p w:rsidR="00D5665A" w:rsidRDefault="00D5665A" w:rsidP="00D5665A">
      <w:pPr>
        <w:pStyle w:val="ClendonsBody"/>
        <w:tabs>
          <w:tab w:val="left" w:pos="4536"/>
        </w:tabs>
        <w:rPr>
          <w:i/>
        </w:rPr>
      </w:pPr>
      <w:r w:rsidRPr="00F56736">
        <w:rPr>
          <w:i/>
        </w:rPr>
        <w:t xml:space="preserve">Email:  </w:t>
      </w:r>
      <w:hyperlink r:id="rId6" w:history="1">
        <w:r w:rsidRPr="00F56736">
          <w:rPr>
            <w:rStyle w:val="Hyperlink"/>
            <w:i/>
          </w:rPr>
          <w:t>james.carnie@clendons.co.nz</w:t>
        </w:r>
      </w:hyperlink>
      <w:r w:rsidRPr="00F56736">
        <w:rPr>
          <w:i/>
        </w:rPr>
        <w:t xml:space="preserve"> </w:t>
      </w:r>
    </w:p>
    <w:p w:rsidR="002751CA" w:rsidRPr="00F56736" w:rsidRDefault="002751CA" w:rsidP="002751CA">
      <w:pPr>
        <w:pStyle w:val="ClendonsBody"/>
        <w:tabs>
          <w:tab w:val="left" w:pos="1701"/>
        </w:tabs>
        <w:rPr>
          <w:i/>
        </w:rPr>
      </w:pPr>
      <w:hyperlink r:id="rId7" w:history="1">
        <w:r w:rsidRPr="00F56736">
          <w:rPr>
            <w:rStyle w:val="Hyperlink"/>
            <w:i/>
          </w:rPr>
          <w:t>www.clendons.co.nz</w:t>
        </w:r>
      </w:hyperlink>
      <w:r w:rsidRPr="00F56736">
        <w:rPr>
          <w:i/>
        </w:rPr>
        <w:t xml:space="preserve"> </w:t>
      </w:r>
      <w:r w:rsidRPr="00F56736">
        <w:rPr>
          <w:i/>
        </w:rPr>
        <w:tab/>
      </w:r>
    </w:p>
    <w:p w:rsidR="002751CA" w:rsidRPr="00F56736" w:rsidRDefault="002751CA" w:rsidP="00D5665A">
      <w:pPr>
        <w:pStyle w:val="ClendonsBody"/>
        <w:tabs>
          <w:tab w:val="left" w:pos="4536"/>
        </w:tabs>
        <w:rPr>
          <w:i/>
        </w:rPr>
      </w:pPr>
    </w:p>
    <w:p w:rsidR="00D5665A" w:rsidRPr="00F56736" w:rsidRDefault="00D5665A" w:rsidP="00D5665A">
      <w:pPr>
        <w:pStyle w:val="ClendonsBody"/>
        <w:rPr>
          <w:i/>
        </w:rPr>
      </w:pPr>
      <w:r w:rsidRPr="00F56736">
        <w:rPr>
          <w:i/>
        </w:rPr>
        <w:t>Disclaimer:</w:t>
      </w:r>
    </w:p>
    <w:p w:rsidR="00D5665A" w:rsidRPr="00F56736" w:rsidRDefault="00D5665A" w:rsidP="00D5665A">
      <w:pPr>
        <w:pStyle w:val="ClendonsBody"/>
        <w:rPr>
          <w:i/>
        </w:rPr>
      </w:pPr>
      <w:r w:rsidRPr="00F56736">
        <w:rPr>
          <w:i/>
        </w:rPr>
        <w:t>This Article by its nature cannot be comprehensive and cannot be relied on by any reader as legal advice. Please consult the professional staff of Clendons for advice specific to your situation.</w:t>
      </w:r>
    </w:p>
    <w:p w:rsidR="00D5665A" w:rsidRPr="00A473C3" w:rsidRDefault="00D5665A"/>
    <w:sectPr w:rsidR="00D5665A" w:rsidRPr="00A47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315"/>
    <w:multiLevelType w:val="multilevel"/>
    <w:tmpl w:val="D84C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578E1"/>
    <w:multiLevelType w:val="hybridMultilevel"/>
    <w:tmpl w:val="45C4C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E64744"/>
    <w:multiLevelType w:val="multilevel"/>
    <w:tmpl w:val="75D0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89"/>
    <w:rsid w:val="00034F19"/>
    <w:rsid w:val="001B5701"/>
    <w:rsid w:val="002751CA"/>
    <w:rsid w:val="004F72BA"/>
    <w:rsid w:val="00506489"/>
    <w:rsid w:val="0057468E"/>
    <w:rsid w:val="00735DE7"/>
    <w:rsid w:val="00760D81"/>
    <w:rsid w:val="007A64B3"/>
    <w:rsid w:val="007B735B"/>
    <w:rsid w:val="007D5AC4"/>
    <w:rsid w:val="00986E46"/>
    <w:rsid w:val="00A473C3"/>
    <w:rsid w:val="00C945EB"/>
    <w:rsid w:val="00D566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73C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4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A473C3"/>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986E46"/>
    <w:pPr>
      <w:ind w:left="720"/>
      <w:contextualSpacing/>
    </w:pPr>
  </w:style>
  <w:style w:type="character" w:styleId="Hyperlink">
    <w:name w:val="Hyperlink"/>
    <w:basedOn w:val="DefaultParagraphFont"/>
    <w:uiPriority w:val="99"/>
    <w:unhideWhenUsed/>
    <w:rsid w:val="00D5665A"/>
    <w:rPr>
      <w:color w:val="0000FF" w:themeColor="hyperlink"/>
      <w:u w:val="single"/>
    </w:rPr>
  </w:style>
  <w:style w:type="paragraph" w:customStyle="1" w:styleId="ClendonsBody">
    <w:name w:val="Clendons Body"/>
    <w:qFormat/>
    <w:rsid w:val="00D5665A"/>
    <w:pPr>
      <w:spacing w:after="0"/>
    </w:pPr>
    <w:rPr>
      <w:rFonts w:ascii="Arial" w:eastAsia="Times New Roman" w:hAnsi="Arial" w:cs="Times New Roman"/>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73C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4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A473C3"/>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986E46"/>
    <w:pPr>
      <w:ind w:left="720"/>
      <w:contextualSpacing/>
    </w:pPr>
  </w:style>
  <w:style w:type="character" w:styleId="Hyperlink">
    <w:name w:val="Hyperlink"/>
    <w:basedOn w:val="DefaultParagraphFont"/>
    <w:uiPriority w:val="99"/>
    <w:unhideWhenUsed/>
    <w:rsid w:val="00D5665A"/>
    <w:rPr>
      <w:color w:val="0000FF" w:themeColor="hyperlink"/>
      <w:u w:val="single"/>
    </w:rPr>
  </w:style>
  <w:style w:type="paragraph" w:customStyle="1" w:styleId="ClendonsBody">
    <w:name w:val="Clendons Body"/>
    <w:qFormat/>
    <w:rsid w:val="00D5665A"/>
    <w:pPr>
      <w:spacing w:after="0"/>
    </w:pPr>
    <w:rPr>
      <w:rFonts w:ascii="Arial" w:eastAsia="Times New Roman" w:hAnsi="Arial"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09702">
      <w:bodyDiv w:val="1"/>
      <w:marLeft w:val="0"/>
      <w:marRight w:val="0"/>
      <w:marTop w:val="0"/>
      <w:marBottom w:val="0"/>
      <w:divBdr>
        <w:top w:val="none" w:sz="0" w:space="0" w:color="auto"/>
        <w:left w:val="none" w:sz="0" w:space="0" w:color="auto"/>
        <w:bottom w:val="none" w:sz="0" w:space="0" w:color="auto"/>
        <w:right w:val="none" w:sz="0" w:space="0" w:color="auto"/>
      </w:divBdr>
    </w:div>
    <w:div w:id="20876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endon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carnie@clendons.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A4D61696</Template>
  <TotalTime>73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Carnie</dc:creator>
  <cp:lastModifiedBy>James Carnie</cp:lastModifiedBy>
  <cp:revision>5</cp:revision>
  <cp:lastPrinted>2016-06-02T21:51:00Z</cp:lastPrinted>
  <dcterms:created xsi:type="dcterms:W3CDTF">2016-06-02T20:43:00Z</dcterms:created>
  <dcterms:modified xsi:type="dcterms:W3CDTF">2016-06-02T21:56:00Z</dcterms:modified>
</cp:coreProperties>
</file>